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60" w:befor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131619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619"/>
          <w:sz w:val="30"/>
          <w:szCs w:val="30"/>
          <w:rtl w:val="0"/>
        </w:rPr>
        <w:t xml:space="preserve">Interim Expert Governance Committee</w:t>
      </w:r>
    </w:p>
    <w:p w:rsidR="00000000" w:rsidDel="00000000" w:rsidP="00000000" w:rsidRDefault="00000000" w:rsidRPr="00000000" w14:paraId="00000002">
      <w:pPr>
        <w:shd w:fill="ffffff" w:val="clear"/>
        <w:spacing w:after="360" w:befor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131619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619"/>
          <w:sz w:val="30"/>
          <w:szCs w:val="30"/>
          <w:rtl w:val="0"/>
        </w:rPr>
        <w:t xml:space="preserve">Connecticut Citizens’ Assembly (CCA)</w:t>
      </w:r>
    </w:p>
    <w:p w:rsidR="00000000" w:rsidDel="00000000" w:rsidP="00000000" w:rsidRDefault="00000000" w:rsidRPr="00000000" w14:paraId="00000003">
      <w:pPr>
        <w:shd w:fill="ffffff" w:val="clear"/>
        <w:spacing w:after="360" w:before="360" w:lineRule="auto"/>
        <w:jc w:val="center"/>
        <w:rPr>
          <w:rFonts w:ascii="Times New Roman" w:cs="Times New Roman" w:eastAsia="Times New Roman" w:hAnsi="Times New Roman"/>
          <w:color w:val="131619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619"/>
          <w:sz w:val="30"/>
          <w:szCs w:val="30"/>
          <w:rtl w:val="0"/>
        </w:rPr>
        <w:t xml:space="preserve">March 10, 2026</w:t>
      </w:r>
    </w:p>
    <w:p w:rsidR="00000000" w:rsidDel="00000000" w:rsidP="00000000" w:rsidRDefault="00000000" w:rsidRPr="00000000" w14:paraId="00000004">
      <w:pPr>
        <w:shd w:fill="ffffff" w:val="clear"/>
        <w:spacing w:after="360" w:befor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131619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619"/>
          <w:sz w:val="30"/>
          <w:szCs w:val="30"/>
          <w:rtl w:val="0"/>
        </w:rPr>
        <w:t xml:space="preserve">Decisions</w:t>
      </w:r>
    </w:p>
    <w:p w:rsidR="00000000" w:rsidDel="00000000" w:rsidP="00000000" w:rsidRDefault="00000000" w:rsidRPr="00000000" w14:paraId="00000005">
      <w:pPr>
        <w:shd w:fill="ffffff" w:val="clear"/>
        <w:spacing w:after="360" w:befor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619"/>
          <w:sz w:val="24"/>
          <w:szCs w:val="24"/>
          <w:rtl w:val="0"/>
        </w:rPr>
        <w:t xml:space="preserve">Participants</w:t>
      </w:r>
      <w:r w:rsidDel="00000000" w:rsidR="00000000" w:rsidRPr="00000000">
        <w:rPr>
          <w:rFonts w:ascii="Times New Roman" w:cs="Times New Roman" w:eastAsia="Times New Roman" w:hAnsi="Times New Roman"/>
          <w:color w:val="131619"/>
          <w:sz w:val="24"/>
          <w:szCs w:val="24"/>
          <w:rtl w:val="0"/>
        </w:rPr>
        <w:t xml:space="preserve">: Hélène Landemore (Chair),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Cynthia Farrar, Dan Selz, Alex Guerrero, Peter McLeod, Zephyr Teachout, Sophie Guillain, Luigi Zingales, Michiel Bakker, Michael Morrell, Thalsa Mekaouche</w:t>
      </w:r>
    </w:p>
    <w:p w:rsidR="00000000" w:rsidDel="00000000" w:rsidP="00000000" w:rsidRDefault="00000000" w:rsidRPr="00000000" w14:paraId="00000006">
      <w:pPr>
        <w:shd w:fill="ffffff" w:val="clear"/>
        <w:spacing w:after="220" w:before="220" w:line="342.85714285714283" w:lineRule="auto"/>
        <w:rPr>
          <w:rFonts w:ascii="Times New Roman" w:cs="Times New Roman" w:eastAsia="Times New Roman" w:hAnsi="Times New Roman"/>
          <w:b w:val="1"/>
          <w:bCs w:val="1"/>
          <w:color w:val="1316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619"/>
          <w:sz w:val="24"/>
          <w:szCs w:val="24"/>
          <w:rtl w:val="0"/>
        </w:rPr>
        <w:t xml:space="preserve">Assembly Size</w:t>
      </w:r>
    </w:p>
    <w:p w:rsidR="00000000" w:rsidDel="00000000" w:rsidP="00000000" w:rsidRDefault="00000000" w:rsidRPr="00000000" w14:paraId="00000007">
      <w:pPr>
        <w:shd w:fill="ffffff" w:val="clear"/>
        <w:spacing w:after="220" w:before="220" w:line="342.85714285714283" w:lineRule="auto"/>
        <w:rPr>
          <w:rFonts w:ascii="Times New Roman" w:cs="Times New Roman" w:eastAsia="Times New Roman" w:hAnsi="Times New Roman"/>
          <w:color w:val="1316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31619"/>
          <w:sz w:val="24"/>
          <w:szCs w:val="24"/>
          <w:rtl w:val="0"/>
        </w:rPr>
        <w:t xml:space="preserve">The Interim Expert Governance Committee (IEGC) will aim</w:t>
      </w:r>
      <w:r w:rsidDel="00000000" w:rsidR="00000000" w:rsidRPr="00000000">
        <w:rPr>
          <w:rFonts w:ascii="Times New Roman" w:cs="Times New Roman" w:eastAsia="Times New Roman" w:hAnsi="Times New Roman"/>
          <w:color w:val="131619"/>
          <w:sz w:val="24"/>
          <w:szCs w:val="24"/>
          <w:highlight w:val="yellow"/>
          <w:rtl w:val="0"/>
        </w:rPr>
        <w:t xml:space="preserve"> for 85 participants</w:t>
      </w:r>
      <w:r w:rsidDel="00000000" w:rsidR="00000000" w:rsidRPr="00000000">
        <w:rPr>
          <w:rFonts w:ascii="Times New Roman" w:cs="Times New Roman" w:eastAsia="Times New Roman" w:hAnsi="Times New Roman"/>
          <w:color w:val="131619"/>
          <w:sz w:val="24"/>
          <w:szCs w:val="24"/>
          <w:rtl w:val="0"/>
        </w:rPr>
        <w:t xml:space="preserve">, recognizing the need to over-recruit to ensure sufficient attendance, while staying within a </w:t>
      </w:r>
      <w:r w:rsidDel="00000000" w:rsidR="00000000" w:rsidRPr="00000000">
        <w:rPr>
          <w:rFonts w:ascii="Times New Roman" w:cs="Times New Roman" w:eastAsia="Times New Roman" w:hAnsi="Times New Roman"/>
          <w:color w:val="131619"/>
          <w:sz w:val="24"/>
          <w:szCs w:val="24"/>
          <w:highlight w:val="yellow"/>
          <w:rtl w:val="0"/>
        </w:rPr>
        <w:t xml:space="preserve">$650,000 budget</w:t>
      </w:r>
      <w:r w:rsidDel="00000000" w:rsidR="00000000" w:rsidRPr="00000000">
        <w:rPr>
          <w:rFonts w:ascii="Times New Roman" w:cs="Times New Roman" w:eastAsia="Times New Roman" w:hAnsi="Times New Roman"/>
          <w:color w:val="131619"/>
          <w:sz w:val="24"/>
          <w:szCs w:val="24"/>
          <w:rtl w:val="0"/>
        </w:rPr>
        <w:t xml:space="preserve"> that includes $180,000 for staff and fixed costs. </w:t>
      </w:r>
    </w:p>
    <w:p w:rsidR="00000000" w:rsidDel="00000000" w:rsidP="00000000" w:rsidRDefault="00000000" w:rsidRPr="00000000" w14:paraId="00000008">
      <w:pPr>
        <w:shd w:fill="ffffff" w:val="clear"/>
        <w:spacing w:after="220" w:before="220" w:line="342.85714285714283" w:lineRule="auto"/>
        <w:rPr>
          <w:rFonts w:ascii="Times New Roman" w:cs="Times New Roman" w:eastAsia="Times New Roman" w:hAnsi="Times New Roman"/>
          <w:b w:val="1"/>
          <w:bCs w:val="1"/>
          <w:color w:val="13161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31619"/>
          <w:sz w:val="24"/>
          <w:szCs w:val="24"/>
          <w:rtl w:val="0"/>
        </w:rPr>
        <w:t xml:space="preserve">CCA Calendar</w:t>
      </w:r>
    </w:p>
    <w:p w:rsidR="00000000" w:rsidDel="00000000" w:rsidP="00000000" w:rsidRDefault="00000000" w:rsidRPr="00000000" w14:paraId="00000009">
      <w:pPr>
        <w:shd w:fill="ffffff" w:val="clear"/>
        <w:spacing w:after="220" w:before="220" w:line="342.85714285714283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131619"/>
          <w:sz w:val="24"/>
          <w:szCs w:val="24"/>
          <w:rtl w:val="0"/>
        </w:rPr>
        <w:t xml:space="preserve">IEGC agreed on a calendar that includes </w:t>
      </w:r>
      <w:r w:rsidDel="00000000" w:rsidR="00000000" w:rsidRPr="00000000">
        <w:rPr>
          <w:rFonts w:ascii="Times New Roman" w:cs="Times New Roman" w:eastAsia="Times New Roman" w:hAnsi="Times New Roman"/>
          <w:color w:val="131619"/>
          <w:sz w:val="24"/>
          <w:szCs w:val="24"/>
          <w:highlight w:val="yellow"/>
          <w:rtl w:val="0"/>
        </w:rPr>
        <w:t xml:space="preserve">two two-day in-person sessions, two one-day virtual sessions, one one-day in-person session and one two-day in-person session at the end.</w:t>
      </w:r>
      <w:r w:rsidDel="00000000" w:rsidR="00000000" w:rsidRPr="00000000">
        <w:rPr>
          <w:rFonts w:ascii="Times New Roman" w:cs="Times New Roman" w:eastAsia="Times New Roman" w:hAnsi="Times New Roman"/>
          <w:color w:val="131619"/>
          <w:sz w:val="24"/>
          <w:szCs w:val="24"/>
          <w:rtl w:val="0"/>
        </w:rPr>
        <w:t xml:space="preserve"> The first session will be in person, followed by a virtual session on August 1st, then an in-person session on August 15th, a virtual session on August 29th and finally two more in-person sessions. The total deliberation time was confirmed at </w:t>
      </w:r>
      <w:r w:rsidDel="00000000" w:rsidR="00000000" w:rsidRPr="00000000">
        <w:rPr>
          <w:rFonts w:ascii="Times New Roman" w:cs="Times New Roman" w:eastAsia="Times New Roman" w:hAnsi="Times New Roman"/>
          <w:color w:val="131619"/>
          <w:sz w:val="24"/>
          <w:szCs w:val="24"/>
          <w:highlight w:val="yellow"/>
          <w:rtl w:val="0"/>
        </w:rPr>
        <w:t xml:space="preserve">53 hours</w:t>
      </w:r>
      <w:r w:rsidDel="00000000" w:rsidR="00000000" w:rsidRPr="00000000">
        <w:rPr>
          <w:rFonts w:ascii="Times New Roman" w:cs="Times New Roman" w:eastAsia="Times New Roman" w:hAnsi="Times New Roman"/>
          <w:color w:val="131619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 11 (2 days)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Assembly begins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 1st (one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Virtual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 15th (one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In-person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 29th (one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Virtual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 12th (one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In-person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 26th (two days)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In-person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Mid-October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Gubernatorial debate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Post-January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Legislative hearing</w:t>
            </w:r>
          </w:p>
        </w:tc>
      </w:tr>
    </w:tbl>
    <w:p w:rsidR="00000000" w:rsidDel="00000000" w:rsidP="00000000" w:rsidRDefault="00000000" w:rsidRPr="00000000" w14:paraId="0000001A">
      <w:pPr>
        <w:shd w:fill="ffffff" w:val="clear"/>
        <w:spacing w:after="220" w:before="220" w:line="342.8571428571428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