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60" w:before="360" w:line="360" w:lineRule="auto"/>
        <w:jc w:val="center"/>
        <w:rPr>
          <w:rFonts w:ascii="Times New Roman" w:cs="Times New Roman" w:eastAsia="Times New Roman" w:hAnsi="Times New Roman"/>
          <w:b w:val="1"/>
          <w:bCs w:val="1"/>
          <w:color w:val="131619"/>
          <w:sz w:val="30"/>
          <w:szCs w:val="30"/>
        </w:rPr>
      </w:pPr>
      <w:r w:rsidDel="00000000" w:rsidR="00000000" w:rsidRPr="00000000">
        <w:rPr>
          <w:rFonts w:ascii="Times New Roman" w:cs="Times New Roman" w:eastAsia="Times New Roman" w:hAnsi="Times New Roman"/>
          <w:b w:val="1"/>
          <w:bCs w:val="1"/>
          <w:color w:val="131619"/>
          <w:sz w:val="30"/>
          <w:szCs w:val="30"/>
          <w:rtl w:val="0"/>
        </w:rPr>
        <w:t xml:space="preserve">Interim Expert Governance Committee</w:t>
      </w:r>
    </w:p>
    <w:p w:rsidR="00000000" w:rsidDel="00000000" w:rsidP="00000000" w:rsidRDefault="00000000" w:rsidRPr="00000000" w14:paraId="00000002">
      <w:pPr>
        <w:shd w:fill="ffffff" w:val="clear"/>
        <w:spacing w:after="360" w:before="360" w:line="360" w:lineRule="auto"/>
        <w:jc w:val="center"/>
        <w:rPr>
          <w:rFonts w:ascii="Times New Roman" w:cs="Times New Roman" w:eastAsia="Times New Roman" w:hAnsi="Times New Roman"/>
          <w:b w:val="1"/>
          <w:bCs w:val="1"/>
          <w:color w:val="131619"/>
          <w:sz w:val="30"/>
          <w:szCs w:val="30"/>
        </w:rPr>
      </w:pPr>
      <w:r w:rsidDel="00000000" w:rsidR="00000000" w:rsidRPr="00000000">
        <w:rPr>
          <w:rFonts w:ascii="Times New Roman" w:cs="Times New Roman" w:eastAsia="Times New Roman" w:hAnsi="Times New Roman"/>
          <w:b w:val="1"/>
          <w:bCs w:val="1"/>
          <w:color w:val="131619"/>
          <w:sz w:val="30"/>
          <w:szCs w:val="30"/>
          <w:rtl w:val="0"/>
        </w:rPr>
        <w:t xml:space="preserve">Connecticut Citizens’ Assembly (CCA)</w:t>
      </w:r>
    </w:p>
    <w:p w:rsidR="00000000" w:rsidDel="00000000" w:rsidP="00000000" w:rsidRDefault="00000000" w:rsidRPr="00000000" w14:paraId="00000003">
      <w:pPr>
        <w:shd w:fill="ffffff" w:val="clear"/>
        <w:spacing w:after="360" w:before="360" w:line="360" w:lineRule="auto"/>
        <w:jc w:val="center"/>
        <w:rPr>
          <w:rFonts w:ascii="Times New Roman" w:cs="Times New Roman" w:eastAsia="Times New Roman" w:hAnsi="Times New Roman"/>
          <w:color w:val="131619"/>
          <w:sz w:val="30"/>
          <w:szCs w:val="30"/>
        </w:rPr>
      </w:pPr>
      <w:r w:rsidDel="00000000" w:rsidR="00000000" w:rsidRPr="00000000">
        <w:rPr>
          <w:rFonts w:ascii="Times New Roman" w:cs="Times New Roman" w:eastAsia="Times New Roman" w:hAnsi="Times New Roman"/>
          <w:color w:val="131619"/>
          <w:sz w:val="30"/>
          <w:szCs w:val="30"/>
          <w:rtl w:val="0"/>
        </w:rPr>
        <w:t xml:space="preserve">March 24, 2026</w:t>
      </w:r>
    </w:p>
    <w:p w:rsidR="00000000" w:rsidDel="00000000" w:rsidP="00000000" w:rsidRDefault="00000000" w:rsidRPr="00000000" w14:paraId="00000004">
      <w:pPr>
        <w:shd w:fill="ffffff" w:val="clear"/>
        <w:spacing w:after="360" w:before="360" w:line="360" w:lineRule="auto"/>
        <w:jc w:val="center"/>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b w:val="1"/>
          <w:bCs w:val="1"/>
          <w:color w:val="131619"/>
          <w:sz w:val="30"/>
          <w:szCs w:val="30"/>
          <w:rtl w:val="0"/>
        </w:rPr>
        <w:t xml:space="preserve">Decisions</w:t>
      </w:r>
      <w:r w:rsidDel="00000000" w:rsidR="00000000" w:rsidRPr="00000000">
        <w:rPr>
          <w:rtl w:val="0"/>
        </w:rPr>
      </w:r>
    </w:p>
    <w:p w:rsidR="00000000" w:rsidDel="00000000" w:rsidP="00000000" w:rsidRDefault="00000000" w:rsidRPr="00000000" w14:paraId="00000005">
      <w:pPr>
        <w:shd w:fill="ffffff" w:val="clear"/>
        <w:spacing w:after="360" w:before="3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Participants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131619"/>
          <w:sz w:val="24"/>
          <w:szCs w:val="24"/>
          <w:rtl w:val="0"/>
        </w:rPr>
        <w:t xml:space="preserve">Hélène Landemore (Chair), Alex Guerrero, Ariel Procaccia, Claire Priest, Cynthia Farrar, Dan Selz, Jane Suiter, Joshua Kalla, Luigi Zingales, Michiel Bakker, Michael Morrell, Oliver Hart, Sophie Guillain, Zephyr Teachout, </w:t>
      </w:r>
      <w:r w:rsidDel="00000000" w:rsidR="00000000" w:rsidRPr="00000000">
        <w:rPr>
          <w:rFonts w:ascii="Times New Roman" w:cs="Times New Roman" w:eastAsia="Times New Roman" w:hAnsi="Times New Roman"/>
          <w:sz w:val="24"/>
          <w:szCs w:val="24"/>
          <w:rtl w:val="0"/>
        </w:rPr>
        <w:t xml:space="preserve">Thalsa Mekaouche (Observor), Gryffin Wilkens-Plumley (Notetaker)</w:t>
      </w:r>
    </w:p>
    <w:p w:rsidR="00000000" w:rsidDel="00000000" w:rsidP="00000000" w:rsidRDefault="00000000" w:rsidRPr="00000000" w14:paraId="00000006">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Assembly Title and Focus Finalized</w:t>
        <w:br w:type="textWrapping"/>
      </w:r>
      <w:r w:rsidDel="00000000" w:rsidR="00000000" w:rsidRPr="00000000">
        <w:rPr>
          <w:rFonts w:ascii="Times New Roman" w:cs="Times New Roman" w:eastAsia="Times New Roman" w:hAnsi="Times New Roman"/>
          <w:sz w:val="24"/>
          <w:szCs w:val="24"/>
          <w:rtl w:val="0"/>
        </w:rPr>
        <w:t xml:space="preserve">The committee confirmed the official title of the initiative as the Connecticut Citizens’ Assembly on Property Taxes. After extensive discussion, members agreed that the assembly’s guiding question will center on how the state should fund and deliver local public services, with property taxes serving as the primary policy lens. This framing was chosen for its clarity and broad relevance to statewide fiscal concerns.</w:t>
      </w:r>
    </w:p>
    <w:p w:rsidR="00000000" w:rsidDel="00000000" w:rsidP="00000000" w:rsidRDefault="00000000" w:rsidRPr="00000000" w14:paraId="00000007">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2357438" cy="2547751"/>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357438" cy="2547751"/>
                    </a:xfrm>
                    <a:prstGeom prst="rect"/>
                    <a:ln/>
                  </pic:spPr>
                </pic:pic>
              </a:graphicData>
            </a:graphic>
          </wp:inline>
        </w:drawing>
      </w: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2195513" cy="266007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195513" cy="266007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12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Schedule Revisions and Venue Planning</w:t>
      </w:r>
      <w:r w:rsidDel="00000000" w:rsidR="00000000" w:rsidRPr="00000000">
        <w:rPr>
          <w:rFonts w:ascii="Times New Roman" w:cs="Times New Roman" w:eastAsia="Times New Roman" w:hAnsi="Times New Roman"/>
          <w:sz w:val="24"/>
          <w:szCs w:val="24"/>
          <w:rtl w:val="0"/>
        </w:rPr>
        <w:br w:type="textWrapping"/>
        <w:t xml:space="preserve">Due to conflicts with the Jewish High Holidays, the group revised the assembly schedule. Meetings will take place on July 11-12 in person, July 25 in person, August 8 virtually, August 29-30th in person, and September 19 virtually, with a final symbolic session planned  for September 26th at the Connecticut State Capitol, pending political approval. The Chair will work with staff to confirm the new dates and secure venues</w:t>
      </w:r>
    </w:p>
    <w:p w:rsidR="00000000" w:rsidDel="00000000" w:rsidP="00000000" w:rsidRDefault="00000000" w:rsidRPr="00000000" w14:paraId="00000009">
      <w:pPr>
        <w:spacing w:after="12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New dates passed by acclimation]</w:t>
      </w:r>
    </w:p>
    <w:p w:rsidR="00000000" w:rsidDel="00000000" w:rsidP="00000000" w:rsidRDefault="00000000" w:rsidRPr="00000000" w14:paraId="0000000A">
      <w:pPr>
        <w:rPr/>
      </w:pPr>
      <w:r w:rsidDel="00000000" w:rsidR="00000000" w:rsidRPr="00000000">
        <w:rPr>
          <w:rtl w:val="0"/>
        </w:rPr>
      </w:r>
    </w:p>
    <w:tbl>
      <w:tblPr>
        <w:tblStyle w:val="Table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00B">
            <w:pPr>
              <w:rPr>
                <w:b w:val="1"/>
                <w:bCs w:val="1"/>
              </w:rPr>
            </w:pPr>
            <w:r w:rsidDel="00000000" w:rsidR="00000000" w:rsidRPr="00000000">
              <w:rPr>
                <w:b w:val="1"/>
                <w:bCs w:val="1"/>
                <w:rtl w:val="0"/>
              </w:rPr>
              <w:t xml:space="preserve">Date</w:t>
            </w:r>
          </w:p>
        </w:tc>
        <w:tc>
          <w:tcPr/>
          <w:p w:rsidR="00000000" w:rsidDel="00000000" w:rsidP="00000000" w:rsidRDefault="00000000" w:rsidRPr="00000000" w14:paraId="0000000C">
            <w:pPr>
              <w:rPr>
                <w:b w:val="1"/>
                <w:bCs w:val="1"/>
              </w:rPr>
            </w:pPr>
            <w:r w:rsidDel="00000000" w:rsidR="00000000" w:rsidRPr="00000000">
              <w:rPr>
                <w:b w:val="1"/>
                <w:bCs w:val="1"/>
                <w:rtl w:val="0"/>
              </w:rPr>
              <w:t xml:space="preserve">Milestone</w:t>
            </w:r>
          </w:p>
        </w:tc>
      </w:tr>
      <w:tr>
        <w:trPr>
          <w:cantSplit w:val="0"/>
          <w:tblHeader w:val="0"/>
        </w:trPr>
        <w:tc>
          <w:tcPr/>
          <w:p w:rsidR="00000000" w:rsidDel="00000000" w:rsidP="00000000" w:rsidRDefault="00000000" w:rsidRPr="00000000" w14:paraId="0000000D">
            <w:pPr>
              <w:rPr>
                <w:shd w:fill="fff2cc" w:val="clear"/>
              </w:rPr>
            </w:pPr>
            <w:r w:rsidDel="00000000" w:rsidR="00000000" w:rsidRPr="00000000">
              <w:rPr>
                <w:b w:val="1"/>
                <w:bCs w:val="1"/>
                <w:shd w:fill="fff2cc" w:val="clear"/>
                <w:rtl w:val="0"/>
              </w:rPr>
              <w:t xml:space="preserve">July 11-12 (2 days)</w:t>
            </w:r>
            <w:r w:rsidDel="00000000" w:rsidR="00000000" w:rsidRPr="00000000">
              <w:rPr>
                <w:rtl w:val="0"/>
              </w:rPr>
            </w:r>
          </w:p>
        </w:tc>
        <w:tc>
          <w:tcPr/>
          <w:p w:rsidR="00000000" w:rsidDel="00000000" w:rsidP="00000000" w:rsidRDefault="00000000" w:rsidRPr="00000000" w14:paraId="0000000E">
            <w:pPr>
              <w:rPr>
                <w:shd w:fill="fff2cc" w:val="clear"/>
              </w:rPr>
            </w:pPr>
            <w:r w:rsidDel="00000000" w:rsidR="00000000" w:rsidRPr="00000000">
              <w:rPr>
                <w:b w:val="1"/>
                <w:bCs w:val="1"/>
                <w:shd w:fill="fff2cc" w:val="clear"/>
                <w:rtl w:val="0"/>
              </w:rPr>
              <w:t xml:space="preserve">2 day in person Assembly begins</w:t>
            </w:r>
            <w:r w:rsidDel="00000000" w:rsidR="00000000" w:rsidRPr="00000000">
              <w:rPr>
                <w:rtl w:val="0"/>
              </w:rPr>
            </w:r>
          </w:p>
        </w:tc>
      </w:tr>
      <w:tr>
        <w:trPr>
          <w:cantSplit w:val="0"/>
          <w:tblHeader w:val="0"/>
        </w:trPr>
        <w:tc>
          <w:tcPr/>
          <w:p w:rsidR="00000000" w:rsidDel="00000000" w:rsidP="00000000" w:rsidRDefault="00000000" w:rsidRPr="00000000" w14:paraId="0000000F">
            <w:pPr>
              <w:rPr>
                <w:b w:val="1"/>
                <w:bCs w:val="1"/>
                <w:shd w:fill="fff2cc" w:val="clear"/>
              </w:rPr>
            </w:pPr>
            <w:r w:rsidDel="00000000" w:rsidR="00000000" w:rsidRPr="00000000">
              <w:rPr>
                <w:b w:val="1"/>
                <w:bCs w:val="1"/>
                <w:shd w:fill="fff2cc" w:val="clear"/>
                <w:rtl w:val="0"/>
              </w:rPr>
              <w:t xml:space="preserve">July 25</w:t>
            </w:r>
          </w:p>
        </w:tc>
        <w:tc>
          <w:tcPr/>
          <w:p w:rsidR="00000000" w:rsidDel="00000000" w:rsidP="00000000" w:rsidRDefault="00000000" w:rsidRPr="00000000" w14:paraId="00000010">
            <w:pPr>
              <w:rPr>
                <w:b w:val="1"/>
                <w:bCs w:val="1"/>
                <w:shd w:fill="fff2cc" w:val="clear"/>
              </w:rPr>
            </w:pPr>
            <w:r w:rsidDel="00000000" w:rsidR="00000000" w:rsidRPr="00000000">
              <w:rPr>
                <w:b w:val="1"/>
                <w:bCs w:val="1"/>
                <w:shd w:fill="fff2cc" w:val="clear"/>
                <w:rtl w:val="0"/>
              </w:rPr>
              <w:t xml:space="preserve">1 day-in person</w:t>
            </w:r>
          </w:p>
        </w:tc>
      </w:tr>
      <w:tr>
        <w:trPr>
          <w:cantSplit w:val="0"/>
          <w:tblHeader w:val="0"/>
        </w:trPr>
        <w:tc>
          <w:tcPr/>
          <w:p w:rsidR="00000000" w:rsidDel="00000000" w:rsidP="00000000" w:rsidRDefault="00000000" w:rsidRPr="00000000" w14:paraId="00000011">
            <w:pPr>
              <w:rPr>
                <w:b w:val="1"/>
                <w:bCs w:val="1"/>
                <w:shd w:fill="fff2cc" w:val="clear"/>
              </w:rPr>
            </w:pPr>
            <w:r w:rsidDel="00000000" w:rsidR="00000000" w:rsidRPr="00000000">
              <w:rPr>
                <w:color w:val="222222"/>
                <w:shd w:fill="fff2cc" w:val="clear"/>
                <w:rtl w:val="0"/>
              </w:rPr>
              <w:t xml:space="preserve">August 8th (one day)</w:t>
            </w:r>
            <w:r w:rsidDel="00000000" w:rsidR="00000000" w:rsidRPr="00000000">
              <w:rPr>
                <w:rtl w:val="0"/>
              </w:rPr>
            </w:r>
          </w:p>
        </w:tc>
        <w:tc>
          <w:tcPr/>
          <w:p w:rsidR="00000000" w:rsidDel="00000000" w:rsidP="00000000" w:rsidRDefault="00000000" w:rsidRPr="00000000" w14:paraId="00000012">
            <w:pPr>
              <w:rPr>
                <w:b w:val="1"/>
                <w:bCs w:val="1"/>
                <w:shd w:fill="fff2cc" w:val="clear"/>
              </w:rPr>
            </w:pPr>
            <w:r w:rsidDel="00000000" w:rsidR="00000000" w:rsidRPr="00000000">
              <w:rPr>
                <w:color w:val="222222"/>
                <w:shd w:fill="fff2cc" w:val="clear"/>
                <w:rtl w:val="0"/>
              </w:rPr>
              <w:t xml:space="preserve">Virtual</w:t>
            </w:r>
            <w:r w:rsidDel="00000000" w:rsidR="00000000" w:rsidRPr="00000000">
              <w:rPr>
                <w:rtl w:val="0"/>
              </w:rPr>
            </w:r>
          </w:p>
        </w:tc>
      </w:tr>
      <w:tr>
        <w:trPr>
          <w:cantSplit w:val="0"/>
          <w:tblHeader w:val="0"/>
        </w:trPr>
        <w:tc>
          <w:tcPr/>
          <w:p w:rsidR="00000000" w:rsidDel="00000000" w:rsidP="00000000" w:rsidRDefault="00000000" w:rsidRPr="00000000" w14:paraId="00000013">
            <w:pPr>
              <w:rPr>
                <w:shd w:fill="fff2cc" w:val="clear"/>
              </w:rPr>
            </w:pPr>
            <w:r w:rsidDel="00000000" w:rsidR="00000000" w:rsidRPr="00000000">
              <w:rPr>
                <w:color w:val="222222"/>
                <w:shd w:fill="fff2cc" w:val="clear"/>
                <w:rtl w:val="0"/>
              </w:rPr>
              <w:t xml:space="preserve">August 29-30th (2 day)</w:t>
            </w:r>
            <w:r w:rsidDel="00000000" w:rsidR="00000000" w:rsidRPr="00000000">
              <w:rPr>
                <w:rtl w:val="0"/>
              </w:rPr>
            </w:r>
          </w:p>
        </w:tc>
        <w:tc>
          <w:tcPr/>
          <w:p w:rsidR="00000000" w:rsidDel="00000000" w:rsidP="00000000" w:rsidRDefault="00000000" w:rsidRPr="00000000" w14:paraId="00000014">
            <w:pPr>
              <w:rPr>
                <w:shd w:fill="fff2cc" w:val="clear"/>
              </w:rPr>
            </w:pPr>
            <w:r w:rsidDel="00000000" w:rsidR="00000000" w:rsidRPr="00000000">
              <w:rPr>
                <w:shd w:fill="fff2cc" w:val="clear"/>
                <w:rtl w:val="0"/>
              </w:rPr>
              <w:t xml:space="preserve">2 day In Person</w:t>
            </w:r>
          </w:p>
        </w:tc>
      </w:tr>
      <w:tr>
        <w:trPr>
          <w:cantSplit w:val="0"/>
          <w:tblHeader w:val="0"/>
        </w:trPr>
        <w:tc>
          <w:tcPr/>
          <w:p w:rsidR="00000000" w:rsidDel="00000000" w:rsidP="00000000" w:rsidRDefault="00000000" w:rsidRPr="00000000" w14:paraId="00000015">
            <w:pPr>
              <w:rPr>
                <w:b w:val="1"/>
                <w:bCs w:val="1"/>
                <w:shd w:fill="fff2cc" w:val="clear"/>
              </w:rPr>
            </w:pPr>
            <w:r w:rsidDel="00000000" w:rsidR="00000000" w:rsidRPr="00000000">
              <w:rPr>
                <w:color w:val="222222"/>
                <w:shd w:fill="fff2cc" w:val="clear"/>
                <w:rtl w:val="0"/>
              </w:rPr>
              <w:t xml:space="preserve">September 19th (1 day)</w:t>
            </w:r>
            <w:r w:rsidDel="00000000" w:rsidR="00000000" w:rsidRPr="00000000">
              <w:rPr>
                <w:rtl w:val="0"/>
              </w:rPr>
            </w:r>
          </w:p>
        </w:tc>
        <w:tc>
          <w:tcPr/>
          <w:p w:rsidR="00000000" w:rsidDel="00000000" w:rsidP="00000000" w:rsidRDefault="00000000" w:rsidRPr="00000000" w14:paraId="00000016">
            <w:pPr>
              <w:rPr>
                <w:b w:val="1"/>
                <w:bCs w:val="1"/>
                <w:shd w:fill="fff2cc" w:val="clear"/>
              </w:rPr>
            </w:pPr>
            <w:r w:rsidDel="00000000" w:rsidR="00000000" w:rsidRPr="00000000">
              <w:rPr>
                <w:color w:val="222222"/>
                <w:shd w:fill="fff2cc" w:val="clear"/>
                <w:rtl w:val="0"/>
              </w:rPr>
              <w:t xml:space="preserve">Virtual</w:t>
            </w:r>
            <w:r w:rsidDel="00000000" w:rsidR="00000000" w:rsidRPr="00000000">
              <w:rPr>
                <w:rtl w:val="0"/>
              </w:rPr>
            </w:r>
          </w:p>
        </w:tc>
      </w:tr>
      <w:tr>
        <w:trPr>
          <w:cantSplit w:val="0"/>
          <w:tblHeader w:val="0"/>
        </w:trPr>
        <w:tc>
          <w:tcPr/>
          <w:p w:rsidR="00000000" w:rsidDel="00000000" w:rsidP="00000000" w:rsidRDefault="00000000" w:rsidRPr="00000000" w14:paraId="00000017">
            <w:pPr>
              <w:rPr>
                <w:b w:val="1"/>
                <w:bCs w:val="1"/>
                <w:shd w:fill="fff2cc" w:val="clear"/>
              </w:rPr>
            </w:pPr>
            <w:r w:rsidDel="00000000" w:rsidR="00000000" w:rsidRPr="00000000">
              <w:rPr>
                <w:color w:val="222222"/>
                <w:shd w:fill="fff2cc" w:val="clear"/>
                <w:rtl w:val="0"/>
              </w:rPr>
              <w:t xml:space="preserve">September 26th (1 days)</w:t>
            </w:r>
            <w:r w:rsidDel="00000000" w:rsidR="00000000" w:rsidRPr="00000000">
              <w:rPr>
                <w:rtl w:val="0"/>
              </w:rPr>
            </w:r>
          </w:p>
        </w:tc>
        <w:tc>
          <w:tcPr/>
          <w:p w:rsidR="00000000" w:rsidDel="00000000" w:rsidP="00000000" w:rsidRDefault="00000000" w:rsidRPr="00000000" w14:paraId="00000018">
            <w:pPr>
              <w:rPr>
                <w:b w:val="1"/>
                <w:bCs w:val="1"/>
                <w:shd w:fill="fff2cc" w:val="clear"/>
              </w:rPr>
            </w:pPr>
            <w:r w:rsidDel="00000000" w:rsidR="00000000" w:rsidRPr="00000000">
              <w:rPr>
                <w:color w:val="222222"/>
                <w:shd w:fill="fff2cc" w:val="clear"/>
                <w:rtl w:val="0"/>
              </w:rPr>
              <w:t xml:space="preserve">1 day In Person</w:t>
            </w:r>
            <w:r w:rsidDel="00000000" w:rsidR="00000000" w:rsidRPr="00000000">
              <w:rPr>
                <w:rtl w:val="0"/>
              </w:rPr>
            </w:r>
          </w:p>
        </w:tc>
      </w:tr>
      <w:tr>
        <w:trPr>
          <w:cantSplit w:val="0"/>
          <w:tblHeader w:val="0"/>
        </w:trPr>
        <w:tc>
          <w:tcPr/>
          <w:p w:rsidR="00000000" w:rsidDel="00000000" w:rsidP="00000000" w:rsidRDefault="00000000" w:rsidRPr="00000000" w14:paraId="00000019">
            <w:pPr>
              <w:rPr>
                <w:shd w:fill="f4cccc" w:val="clear"/>
              </w:rPr>
            </w:pPr>
            <w:r w:rsidDel="00000000" w:rsidR="00000000" w:rsidRPr="00000000">
              <w:rPr>
                <w:shd w:fill="f4cccc" w:val="clear"/>
                <w:rtl w:val="0"/>
              </w:rPr>
              <w:t xml:space="preserve">Mid October</w:t>
            </w:r>
          </w:p>
        </w:tc>
        <w:tc>
          <w:tcPr/>
          <w:p w:rsidR="00000000" w:rsidDel="00000000" w:rsidP="00000000" w:rsidRDefault="00000000" w:rsidRPr="00000000" w14:paraId="0000001A">
            <w:pPr>
              <w:rPr>
                <w:shd w:fill="f4cccc" w:val="clear"/>
              </w:rPr>
            </w:pPr>
            <w:r w:rsidDel="00000000" w:rsidR="00000000" w:rsidRPr="00000000">
              <w:rPr>
                <w:shd w:fill="f4cccc" w:val="clear"/>
                <w:rtl w:val="0"/>
              </w:rPr>
              <w:t xml:space="preserve">Gubernatorial Debate</w:t>
            </w:r>
          </w:p>
        </w:tc>
      </w:tr>
      <w:tr>
        <w:trPr>
          <w:cantSplit w:val="0"/>
          <w:tblHeader w:val="0"/>
        </w:trPr>
        <w:tc>
          <w:tcPr/>
          <w:p w:rsidR="00000000" w:rsidDel="00000000" w:rsidP="00000000" w:rsidRDefault="00000000" w:rsidRPr="00000000" w14:paraId="0000001B">
            <w:pPr>
              <w:rPr>
                <w:shd w:fill="f4cccc" w:val="clear"/>
              </w:rPr>
            </w:pPr>
            <w:r w:rsidDel="00000000" w:rsidR="00000000" w:rsidRPr="00000000">
              <w:rPr>
                <w:shd w:fill="f4cccc" w:val="clear"/>
                <w:rtl w:val="0"/>
              </w:rPr>
              <w:t xml:space="preserve">Post-January</w:t>
            </w:r>
          </w:p>
        </w:tc>
        <w:tc>
          <w:tcPr/>
          <w:p w:rsidR="00000000" w:rsidDel="00000000" w:rsidP="00000000" w:rsidRDefault="00000000" w:rsidRPr="00000000" w14:paraId="0000001C">
            <w:pPr>
              <w:rPr>
                <w:shd w:fill="f4cccc" w:val="clear"/>
              </w:rPr>
            </w:pPr>
            <w:r w:rsidDel="00000000" w:rsidR="00000000" w:rsidRPr="00000000">
              <w:rPr>
                <w:shd w:fill="f4cccc" w:val="clear"/>
                <w:rtl w:val="0"/>
              </w:rPr>
              <w:t xml:space="preserve">Legislative hearing</w:t>
            </w:r>
          </w:p>
        </w:tc>
      </w:tr>
    </w:tbl>
    <w:p w:rsidR="00000000" w:rsidDel="00000000" w:rsidP="00000000" w:rsidRDefault="00000000" w:rsidRPr="00000000" w14:paraId="0000001D">
      <w:pPr>
        <w:spacing w:after="120" w:before="24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spacing w:after="12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Governance Committee Expansion</w:t>
        <w:br w:type="textWrapping"/>
      </w:r>
      <w:r w:rsidDel="00000000" w:rsidR="00000000" w:rsidRPr="00000000">
        <w:rPr>
          <w:rFonts w:ascii="Times New Roman" w:cs="Times New Roman" w:eastAsia="Times New Roman" w:hAnsi="Times New Roman"/>
          <w:sz w:val="24"/>
          <w:szCs w:val="24"/>
          <w:rtl w:val="0"/>
        </w:rPr>
        <w:t xml:space="preserve">The committee discussed the need to broaden its membership by adding experts in property taxation and local finance. </w:t>
      </w:r>
      <w:r w:rsidDel="00000000" w:rsidR="00000000" w:rsidRPr="00000000">
        <w:rPr>
          <w:rFonts w:ascii="Times New Roman" w:cs="Times New Roman" w:eastAsia="Times New Roman" w:hAnsi="Times New Roman"/>
          <w:b w:val="1"/>
          <w:bCs w:val="1"/>
          <w:sz w:val="24"/>
          <w:szCs w:val="24"/>
          <w:rtl w:val="0"/>
        </w:rPr>
        <w:t xml:space="preserve">Joe DeLong</w:t>
      </w:r>
      <w:r w:rsidDel="00000000" w:rsidR="00000000" w:rsidRPr="00000000">
        <w:rPr>
          <w:rFonts w:ascii="Times New Roman" w:cs="Times New Roman" w:eastAsia="Times New Roman" w:hAnsi="Times New Roman"/>
          <w:sz w:val="24"/>
          <w:szCs w:val="24"/>
          <w:rtl w:val="0"/>
        </w:rPr>
        <w:t xml:space="preserve"> will contact </w:t>
      </w:r>
      <w:r w:rsidDel="00000000" w:rsidR="00000000" w:rsidRPr="00000000">
        <w:rPr>
          <w:rFonts w:ascii="Times New Roman" w:cs="Times New Roman" w:eastAsia="Times New Roman" w:hAnsi="Times New Roman"/>
          <w:b w:val="1"/>
          <w:bCs w:val="1"/>
          <w:sz w:val="24"/>
          <w:szCs w:val="24"/>
          <w:rtl w:val="0"/>
        </w:rPr>
        <w:t xml:space="preserve">Alex Knopp</w:t>
      </w:r>
      <w:r w:rsidDel="00000000" w:rsidR="00000000" w:rsidRPr="00000000">
        <w:rPr>
          <w:rFonts w:ascii="Times New Roman" w:cs="Times New Roman" w:eastAsia="Times New Roman" w:hAnsi="Times New Roman"/>
          <w:sz w:val="24"/>
          <w:szCs w:val="24"/>
          <w:rtl w:val="0"/>
        </w:rPr>
        <w:t xml:space="preserve"> to assess his interest in joining as an expert member, and the group will formally review potential additions at the next meeting. </w:t>
      </w:r>
      <w:r w:rsidDel="00000000" w:rsidR="00000000" w:rsidRPr="00000000">
        <w:rPr>
          <w:rFonts w:ascii="Times New Roman" w:cs="Times New Roman" w:eastAsia="Times New Roman" w:hAnsi="Times New Roman"/>
          <w:b w:val="1"/>
          <w:bCs w:val="1"/>
          <w:sz w:val="24"/>
          <w:szCs w:val="24"/>
          <w:rtl w:val="0"/>
        </w:rPr>
        <w:t xml:space="preserve">Pamela Greene</w:t>
      </w:r>
      <w:r w:rsidDel="00000000" w:rsidR="00000000" w:rsidRPr="00000000">
        <w:rPr>
          <w:rFonts w:ascii="Times New Roman" w:cs="Times New Roman" w:eastAsia="Times New Roman" w:hAnsi="Times New Roman"/>
          <w:sz w:val="24"/>
          <w:szCs w:val="24"/>
          <w:rtl w:val="0"/>
        </w:rPr>
        <w:t xml:space="preserve"> is expected to assume the role of project manager beginning in June.</w:t>
      </w:r>
    </w:p>
    <w:p w:rsidR="00000000" w:rsidDel="00000000" w:rsidP="00000000" w:rsidRDefault="00000000" w:rsidRPr="00000000" w14:paraId="0000001F">
      <w:pPr>
        <w:spacing w:after="12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Next Steps and Document Revisions</w:t>
        <w:br w:type="textWrapping"/>
      </w:r>
      <w:r w:rsidDel="00000000" w:rsidR="00000000" w:rsidRPr="00000000">
        <w:rPr>
          <w:rFonts w:ascii="Times New Roman" w:cs="Times New Roman" w:eastAsia="Times New Roman" w:hAnsi="Times New Roman"/>
          <w:sz w:val="24"/>
          <w:szCs w:val="24"/>
          <w:rtl w:val="0"/>
        </w:rPr>
        <w:t xml:space="preserve">Members will continue refining the invitation letter and guiding question, aiming to finalize both during the next meeting. </w:t>
      </w:r>
      <w:r w:rsidDel="00000000" w:rsidR="00000000" w:rsidRPr="00000000">
        <w:rPr>
          <w:rFonts w:ascii="Times New Roman" w:cs="Times New Roman" w:eastAsia="Times New Roman" w:hAnsi="Times New Roman"/>
          <w:b w:val="1"/>
          <w:bCs w:val="1"/>
          <w:sz w:val="24"/>
          <w:szCs w:val="24"/>
          <w:rtl w:val="0"/>
        </w:rPr>
        <w:t xml:space="preserve">Cynthia </w:t>
      </w:r>
      <w:r w:rsidDel="00000000" w:rsidR="00000000" w:rsidRPr="00000000">
        <w:rPr>
          <w:rFonts w:ascii="Times New Roman" w:cs="Times New Roman" w:eastAsia="Times New Roman" w:hAnsi="Times New Roman"/>
          <w:sz w:val="24"/>
          <w:szCs w:val="24"/>
          <w:rtl w:val="0"/>
        </w:rPr>
        <w:t xml:space="preserve">will streamline the shared drafts to reduce confusion, while the </w:t>
      </w:r>
      <w:r w:rsidDel="00000000" w:rsidR="00000000" w:rsidRPr="00000000">
        <w:rPr>
          <w:rFonts w:ascii="Times New Roman" w:cs="Times New Roman" w:eastAsia="Times New Roman" w:hAnsi="Times New Roman"/>
          <w:b w:val="1"/>
          <w:bCs w:val="1"/>
          <w:sz w:val="24"/>
          <w:szCs w:val="24"/>
          <w:rtl w:val="0"/>
        </w:rPr>
        <w:t xml:space="preserve">Chair</w:t>
      </w:r>
      <w:r w:rsidDel="00000000" w:rsidR="00000000" w:rsidRPr="00000000">
        <w:rPr>
          <w:rFonts w:ascii="Times New Roman" w:cs="Times New Roman" w:eastAsia="Times New Roman" w:hAnsi="Times New Roman"/>
          <w:sz w:val="24"/>
          <w:szCs w:val="24"/>
          <w:rtl w:val="0"/>
        </w:rPr>
        <w:t xml:space="preserve"> will lead the final approval process. The group also revisited whether to rotate the chair role or maintain the current leadership arrangement, voting overwhelmingly for Professor Landemore to remain as the</w:t>
      </w:r>
      <w:r w:rsidDel="00000000" w:rsidR="00000000" w:rsidRPr="00000000">
        <w:rPr>
          <w:rFonts w:ascii="Times New Roman" w:cs="Times New Roman" w:eastAsia="Times New Roman" w:hAnsi="Times New Roman"/>
          <w:b w:val="1"/>
          <w:bCs w:val="1"/>
          <w:sz w:val="24"/>
          <w:szCs w:val="24"/>
          <w:rtl w:val="0"/>
        </w:rPr>
        <w:t xml:space="preserve"> Chair</w:t>
      </w:r>
      <w:r w:rsidDel="00000000" w:rsidR="00000000" w:rsidRPr="00000000">
        <w:rPr>
          <w:rFonts w:ascii="Times New Roman" w:cs="Times New Roman" w:eastAsia="Times New Roman" w:hAnsi="Times New Roman"/>
          <w:sz w:val="24"/>
          <w:szCs w:val="24"/>
          <w:rtl w:val="0"/>
        </w:rPr>
        <w:t xml:space="preserve">, without foreclosing on future discussion.</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Pr>
        <w:drawing>
          <wp:inline distB="114300" distT="114300" distL="114300" distR="114300">
            <wp:extent cx="3500438" cy="2799228"/>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00438" cy="2799228"/>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10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after="10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100" w:line="36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